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51" w:rsidRDefault="00BB0551" w:rsidP="00BB0551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BB0551" w:rsidRDefault="00BB0551" w:rsidP="00BB0551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BB0551" w:rsidRDefault="00BB0551" w:rsidP="00BB0551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2D38C8">
        <w:rPr>
          <w:rFonts w:ascii="Times New Roman" w:hAnsi="Times New Roman" w:cs="Times New Roman"/>
          <w:b w:val="0"/>
          <w:sz w:val="24"/>
          <w:szCs w:val="24"/>
        </w:rPr>
        <w:t xml:space="preserve">24.10.2023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2D38C8">
        <w:rPr>
          <w:rFonts w:ascii="Times New Roman" w:hAnsi="Times New Roman" w:cs="Times New Roman"/>
          <w:b w:val="0"/>
          <w:sz w:val="24"/>
          <w:szCs w:val="24"/>
        </w:rPr>
        <w:t>633</w:t>
      </w:r>
      <w:r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BB0551" w:rsidRDefault="00BB0551" w:rsidP="00BB0551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0551" w:rsidRDefault="00BB0551" w:rsidP="00BB0551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0551" w:rsidRPr="00E86786" w:rsidRDefault="00BB0551" w:rsidP="00BB0551">
      <w:pPr>
        <w:jc w:val="center"/>
        <w:rPr>
          <w:b/>
          <w:bCs/>
          <w:sz w:val="28"/>
          <w:szCs w:val="28"/>
        </w:rPr>
      </w:pPr>
      <w:r w:rsidRPr="00E86786">
        <w:rPr>
          <w:b/>
          <w:bCs/>
          <w:sz w:val="28"/>
          <w:szCs w:val="28"/>
        </w:rPr>
        <w:t>Муниципальная программа Дзержинского района</w:t>
      </w:r>
    </w:p>
    <w:p w:rsidR="00BB0551" w:rsidRDefault="00BB0551" w:rsidP="00BB0551">
      <w:pPr>
        <w:jc w:val="center"/>
        <w:rPr>
          <w:b/>
          <w:sz w:val="28"/>
          <w:szCs w:val="28"/>
        </w:rPr>
      </w:pPr>
      <w:r w:rsidRPr="00E86786">
        <w:rPr>
          <w:b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</w:p>
    <w:p w:rsidR="00BB0551" w:rsidRDefault="00BB0551" w:rsidP="00BB0551">
      <w:pPr>
        <w:jc w:val="center"/>
        <w:rPr>
          <w:b/>
          <w:sz w:val="28"/>
          <w:szCs w:val="28"/>
        </w:rPr>
      </w:pPr>
    </w:p>
    <w:p w:rsidR="00BB0551" w:rsidRPr="00E86786" w:rsidRDefault="00BB0551" w:rsidP="00BB0551">
      <w:pPr>
        <w:jc w:val="center"/>
        <w:rPr>
          <w:b/>
          <w:szCs w:val="24"/>
        </w:rPr>
      </w:pPr>
      <w:r w:rsidRPr="004C7152">
        <w:t>1. Паспорт муниципальной программы Дзержинского района</w:t>
      </w:r>
      <w:r>
        <w:t xml:space="preserve"> </w:t>
      </w:r>
      <w:r w:rsidRPr="00E86786">
        <w:rPr>
          <w:szCs w:val="24"/>
        </w:rPr>
        <w:t>«Реформирование и модернизация жилищно-коммунального хозяйства и повышение энергетической эффективности»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25"/>
        <w:gridCol w:w="8"/>
        <w:gridCol w:w="6738"/>
      </w:tblGrid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520" w:type="pct"/>
          </w:tcPr>
          <w:p w:rsidR="00BB0551" w:rsidRPr="001F5E8F" w:rsidRDefault="00BB0551" w:rsidP="00394DF6">
            <w:pPr>
              <w:spacing w:before="40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эффективности» (Программа)</w:t>
            </w:r>
          </w:p>
        </w:tc>
      </w:tr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3520" w:type="pct"/>
          </w:tcPr>
          <w:p w:rsidR="00BB0551" w:rsidRPr="006806FD" w:rsidRDefault="00BB0551" w:rsidP="00394DF6">
            <w:pPr>
              <w:spacing w:before="40"/>
              <w:jc w:val="both"/>
              <w:rPr>
                <w:sz w:val="28"/>
                <w:szCs w:val="28"/>
              </w:rPr>
            </w:pPr>
            <w:r w:rsidRPr="006806FD">
              <w:rPr>
                <w:sz w:val="28"/>
                <w:szCs w:val="28"/>
              </w:rPr>
              <w:t>статья 179 Бюджетного кодекса Российской Федерации, постановление администрации района от 30.08.2013 № 791-П “Об утверждении Порядка принятия решений о разработке муниципальных программ Дзержинского района, их формировании и реализации”</w:t>
            </w:r>
          </w:p>
          <w:p w:rsidR="00BB0551" w:rsidRPr="006806FD" w:rsidRDefault="00BB0551" w:rsidP="00394DF6">
            <w:pPr>
              <w:spacing w:before="40"/>
              <w:jc w:val="both"/>
              <w:rPr>
                <w:sz w:val="28"/>
                <w:szCs w:val="28"/>
              </w:rPr>
            </w:pPr>
            <w:r w:rsidRPr="006806FD">
              <w:rPr>
                <w:sz w:val="28"/>
                <w:szCs w:val="28"/>
              </w:rPr>
              <w:t>Распоряжение администрации Дзержинского района от 28.09.2022 № 175-р «Об утверждении перечня муниципальных программ».</w:t>
            </w:r>
          </w:p>
        </w:tc>
      </w:tr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520" w:type="pct"/>
          </w:tcPr>
          <w:p w:rsidR="00BB0551" w:rsidRPr="001F5E8F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EC130A">
              <w:rPr>
                <w:sz w:val="28"/>
                <w:szCs w:val="28"/>
              </w:rPr>
              <w:t xml:space="preserve">Отдел архитектуры, строительства, ЖКХ, транспорта, связи, ГО и ЧС администрации Дзержинского района </w:t>
            </w:r>
          </w:p>
        </w:tc>
      </w:tr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</w:p>
          <w:p w:rsidR="00BB0551" w:rsidRPr="001F5E8F" w:rsidRDefault="00BB0551" w:rsidP="00394DF6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520" w:type="pct"/>
          </w:tcPr>
          <w:p w:rsidR="00BB0551" w:rsidRPr="001F5E8F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Подпрограммы:</w:t>
            </w:r>
          </w:p>
          <w:p w:rsidR="00BB0551" w:rsidRPr="001F5E8F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Модернизация, реконструкция и капитальный ремонт объектов коммунальной инфраструктуры Дзержинского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BB0551" w:rsidRPr="001F5E8F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Чистая вода Дзержинского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BB0551" w:rsidRPr="001F5E8F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3. Энергосбережение и повышение энергетической эффективности в Дзержинском районе</w:t>
            </w:r>
            <w:r>
              <w:rPr>
                <w:sz w:val="28"/>
                <w:szCs w:val="28"/>
              </w:rPr>
              <w:t xml:space="preserve"> </w:t>
            </w:r>
          </w:p>
          <w:p w:rsidR="00BB0551" w:rsidRPr="001F5E8F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Мероприятия:</w:t>
            </w:r>
          </w:p>
          <w:p w:rsidR="00BB0551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Реализация</w:t>
            </w:r>
            <w:r w:rsidRPr="00555689">
              <w:rPr>
                <w:sz w:val="28"/>
                <w:szCs w:val="28"/>
              </w:rPr>
              <w:t xml:space="preserve"> отдельных мер по обеспечению ограничения платы граждан за коммунальные услуги</w:t>
            </w:r>
            <w:r>
              <w:rPr>
                <w:sz w:val="28"/>
                <w:szCs w:val="28"/>
              </w:rPr>
              <w:t>;</w:t>
            </w:r>
            <w:r w:rsidRPr="00555689">
              <w:rPr>
                <w:sz w:val="28"/>
                <w:szCs w:val="28"/>
              </w:rPr>
              <w:t xml:space="preserve"> </w:t>
            </w:r>
          </w:p>
          <w:p w:rsidR="00BB0551" w:rsidRPr="001F5E8F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2. Создание условий для развития услуг связи в малочисленных и труднодоступных населенных пунктах Дзержинского района.</w:t>
            </w:r>
          </w:p>
        </w:tc>
      </w:tr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Цели </w:t>
            </w:r>
          </w:p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Муниципальной программы </w:t>
            </w:r>
          </w:p>
          <w:p w:rsidR="00BB0551" w:rsidRPr="001F5E8F" w:rsidRDefault="00BB0551" w:rsidP="00394DF6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520" w:type="pct"/>
          </w:tcPr>
          <w:p w:rsidR="00BB0551" w:rsidRDefault="00BB0551" w:rsidP="00394DF6">
            <w:pPr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1. </w:t>
            </w:r>
            <w:r w:rsidRPr="009107D4">
              <w:rPr>
                <w:sz w:val="28"/>
                <w:szCs w:val="28"/>
              </w:rPr>
              <w:t>Развитие, модернизация и капитальный ремонт объектов коммунальной инфраструктуры Дзержинского района</w:t>
            </w:r>
            <w:r>
              <w:rPr>
                <w:sz w:val="28"/>
                <w:szCs w:val="28"/>
              </w:rPr>
              <w:t>;</w:t>
            </w:r>
          </w:p>
          <w:p w:rsidR="00BB0551" w:rsidRDefault="00BB0551" w:rsidP="00394D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</w:t>
            </w:r>
            <w:r w:rsidRPr="00252103">
              <w:rPr>
                <w:sz w:val="28"/>
                <w:szCs w:val="28"/>
              </w:rPr>
              <w:t xml:space="preserve">азвитие и модернизация объектов водоснабжения </w:t>
            </w:r>
            <w:r w:rsidRPr="00252103">
              <w:rPr>
                <w:sz w:val="28"/>
                <w:szCs w:val="28"/>
              </w:rPr>
              <w:lastRenderedPageBreak/>
              <w:t>и водоотведения в целях обеспечения населения Дзержинского района питьевой водой, соответствующей требованиям безопасности и безвредности, установленным санитарно-эпидемиологическими правилами</w:t>
            </w:r>
            <w:r w:rsidRPr="009107D4">
              <w:rPr>
                <w:sz w:val="28"/>
                <w:szCs w:val="28"/>
              </w:rPr>
              <w:t xml:space="preserve"> </w:t>
            </w:r>
          </w:p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E8F">
              <w:rPr>
                <w:sz w:val="28"/>
                <w:szCs w:val="28"/>
              </w:rPr>
              <w:t>. Формирование эффективной системы управления энергосбережением и повышением энергетической эффективности.</w:t>
            </w:r>
          </w:p>
        </w:tc>
      </w:tr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3520" w:type="pct"/>
          </w:tcPr>
          <w:p w:rsidR="00BB0551" w:rsidRDefault="00BB0551" w:rsidP="00394D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E8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38C1"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критического уровня износа объектов коммунальной инфраструктуры, повышение </w:t>
            </w:r>
            <w:proofErr w:type="spellStart"/>
            <w:r w:rsidRPr="001638C1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1638C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коммунальной инфраструктуры, обеспечение населения питьевой водой, отвечающей требованиям безопасности, внедрение новых технологий, современной трубной продукции, котельного оборудования, водоочистных установок на объектах коммунального комплекса Дзержинского района</w:t>
            </w:r>
            <w:r w:rsidRPr="001F5E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0551" w:rsidRPr="00252103" w:rsidRDefault="00BB0551" w:rsidP="00394D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</w:t>
            </w:r>
            <w:r w:rsidRPr="00252103">
              <w:rPr>
                <w:rFonts w:ascii="Times New Roman" w:hAnsi="Times New Roman" w:cs="Times New Roman"/>
                <w:sz w:val="28"/>
                <w:szCs w:val="28"/>
              </w:rPr>
              <w:t>одернизация систем водоснабжения, обеспечение населения Дзержинского района питьевой водой, отвечающей требованиям безопасности.</w:t>
            </w:r>
          </w:p>
          <w:p w:rsidR="00BB0551" w:rsidRPr="00273466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 Повышение энергосбережения и </w:t>
            </w:r>
            <w:proofErr w:type="spellStart"/>
            <w:r w:rsidRPr="001F5E8F">
              <w:rPr>
                <w:sz w:val="28"/>
                <w:szCs w:val="28"/>
              </w:rPr>
              <w:t>энергоэффективности</w:t>
            </w:r>
            <w:proofErr w:type="spellEnd"/>
            <w:r w:rsidRPr="001F5E8F">
              <w:rPr>
                <w:sz w:val="28"/>
                <w:szCs w:val="28"/>
              </w:rPr>
              <w:t>.</w:t>
            </w:r>
          </w:p>
          <w:p w:rsidR="00BB0551" w:rsidRPr="001F5E8F" w:rsidRDefault="00BB0551" w:rsidP="00394DF6">
            <w:pPr>
              <w:jc w:val="both"/>
              <w:textAlignment w:val="baseline"/>
              <w:rPr>
                <w:sz w:val="28"/>
                <w:szCs w:val="28"/>
              </w:rPr>
            </w:pPr>
            <w:r w:rsidRPr="009F6987">
              <w:rPr>
                <w:sz w:val="28"/>
                <w:szCs w:val="28"/>
              </w:rPr>
              <w:t xml:space="preserve">4. Формирование объективных и достоверных данных о состоянии </w:t>
            </w:r>
            <w:proofErr w:type="spellStart"/>
            <w:r w:rsidRPr="009F6987">
              <w:rPr>
                <w:sz w:val="28"/>
                <w:szCs w:val="28"/>
              </w:rPr>
              <w:t>электросетевого</w:t>
            </w:r>
            <w:proofErr w:type="spellEnd"/>
            <w:r w:rsidRPr="009F6987">
              <w:rPr>
                <w:sz w:val="28"/>
                <w:szCs w:val="28"/>
              </w:rPr>
              <w:t xml:space="preserve"> хозяйства классом напряжения 0,4 - 35 кВ, выявление "узких мест", разработка перечня мероприятий по развитию электрических сетей.</w:t>
            </w:r>
          </w:p>
        </w:tc>
      </w:tr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520" w:type="pct"/>
          </w:tcPr>
          <w:p w:rsidR="00BB0551" w:rsidRPr="001F5E8F" w:rsidRDefault="00BB0551" w:rsidP="00394DF6">
            <w:pPr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Сроки реализации: 2014-</w:t>
            </w:r>
            <w:r w:rsidRPr="00C726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1F5E8F">
              <w:rPr>
                <w:sz w:val="28"/>
                <w:szCs w:val="28"/>
              </w:rPr>
              <w:t xml:space="preserve"> годы</w:t>
            </w:r>
          </w:p>
          <w:p w:rsidR="00BB0551" w:rsidRPr="001F5E8F" w:rsidRDefault="00BB0551" w:rsidP="00394DF6">
            <w:pPr>
              <w:textAlignment w:val="baseline"/>
              <w:rPr>
                <w:sz w:val="28"/>
                <w:szCs w:val="28"/>
              </w:rPr>
            </w:pPr>
          </w:p>
        </w:tc>
      </w:tr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tabs>
                <w:tab w:val="left" w:pos="1418"/>
              </w:tabs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Перечень целевых показателей и показателей результативности программы (Приложение 1 к Программе)</w:t>
            </w:r>
          </w:p>
        </w:tc>
        <w:tc>
          <w:tcPr>
            <w:tcW w:w="3520" w:type="pct"/>
          </w:tcPr>
          <w:p w:rsidR="00BB0551" w:rsidRPr="001F5E8F" w:rsidRDefault="00BB0551" w:rsidP="00394DF6">
            <w:pPr>
              <w:textAlignment w:val="baseline"/>
              <w:rPr>
                <w:sz w:val="28"/>
                <w:szCs w:val="28"/>
              </w:rPr>
            </w:pPr>
            <w:r w:rsidRPr="009A2EB7">
              <w:rPr>
                <w:sz w:val="28"/>
                <w:szCs w:val="28"/>
              </w:rPr>
              <w:t>1. Снижение уровня износа</w:t>
            </w:r>
            <w:r w:rsidRPr="001F5E8F">
              <w:rPr>
                <w:sz w:val="28"/>
                <w:szCs w:val="28"/>
              </w:rPr>
              <w:t xml:space="preserve"> коммунальной инфраструктуры до 45,0 %;</w:t>
            </w:r>
          </w:p>
          <w:p w:rsidR="00BB0551" w:rsidRPr="001F5E8F" w:rsidRDefault="00BB0551" w:rsidP="00394DF6">
            <w:pPr>
              <w:ind w:left="26" w:hanging="26"/>
              <w:outlineLvl w:val="0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2. Снижение количества аварий в инженерных сетях до 2,5 ед./100км;</w:t>
            </w:r>
          </w:p>
          <w:p w:rsidR="00BB0551" w:rsidRPr="001F5E8F" w:rsidRDefault="00BB0551" w:rsidP="00394DF6">
            <w:pPr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3. Снижение потерь энергоресурсов в инженерных сетях до 22,0 %;</w:t>
            </w:r>
          </w:p>
          <w:p w:rsidR="00BB0551" w:rsidRPr="001F5E8F" w:rsidRDefault="00BB0551" w:rsidP="00394DF6">
            <w:pPr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4. Увеличение доли населения, обеспеченного питьевой водой, отвечающей требованиям безопасности до 65 %;</w:t>
            </w:r>
          </w:p>
          <w:p w:rsidR="00BB0551" w:rsidRPr="001F5E8F" w:rsidRDefault="00BB0551" w:rsidP="00394DF6">
            <w:pPr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5. Увеличение доли населения, обеспеченного централизованными услугами водоснабжения до 18%;</w:t>
            </w:r>
          </w:p>
          <w:p w:rsidR="00BB0551" w:rsidRPr="001F5E8F" w:rsidRDefault="00BB0551" w:rsidP="00394DF6">
            <w:pPr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6. Увеличение фактической оплаты населением за жилищно-коммунальные услуги от начисленных </w:t>
            </w:r>
            <w:r w:rsidRPr="001F5E8F">
              <w:rPr>
                <w:sz w:val="28"/>
                <w:szCs w:val="28"/>
              </w:rPr>
              <w:lastRenderedPageBreak/>
              <w:t xml:space="preserve">платежей </w:t>
            </w:r>
            <w:r w:rsidRPr="00FB2850">
              <w:rPr>
                <w:sz w:val="28"/>
                <w:szCs w:val="28"/>
              </w:rPr>
              <w:t>до 97 %;</w:t>
            </w:r>
          </w:p>
          <w:p w:rsidR="00BB0551" w:rsidRPr="001F5E8F" w:rsidRDefault="00BB0551" w:rsidP="00394DF6">
            <w:pPr>
              <w:pStyle w:val="ConsPlusCell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7</w:t>
            </w:r>
            <w:r w:rsidRPr="000A3E9D">
              <w:rPr>
                <w:sz w:val="28"/>
                <w:szCs w:val="28"/>
              </w:rPr>
              <w:t>. Снижение энергоемкости валового муниципального продукта до 50,0 кг</w:t>
            </w:r>
            <w:r w:rsidRPr="001F5E8F">
              <w:rPr>
                <w:sz w:val="28"/>
                <w:szCs w:val="28"/>
              </w:rPr>
              <w:t xml:space="preserve"> </w:t>
            </w:r>
            <w:proofErr w:type="spellStart"/>
            <w:r w:rsidRPr="001F5E8F">
              <w:rPr>
                <w:sz w:val="28"/>
                <w:szCs w:val="28"/>
              </w:rPr>
              <w:t>у.т</w:t>
            </w:r>
            <w:proofErr w:type="spellEnd"/>
            <w:r w:rsidRPr="001F5E8F">
              <w:rPr>
                <w:sz w:val="28"/>
                <w:szCs w:val="28"/>
              </w:rPr>
              <w:t>./тыс. руб.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9F6987">
              <w:rPr>
                <w:sz w:val="28"/>
                <w:szCs w:val="28"/>
              </w:rPr>
              <w:t xml:space="preserve">8. </w:t>
            </w:r>
            <w:r w:rsidRPr="00EC130A">
              <w:rPr>
                <w:sz w:val="28"/>
                <w:szCs w:val="28"/>
              </w:rPr>
              <w:t>Количество разработанных</w:t>
            </w:r>
            <w:r w:rsidRPr="009F6987">
              <w:rPr>
                <w:sz w:val="28"/>
                <w:szCs w:val="28"/>
              </w:rPr>
              <w:t xml:space="preserve"> схем и программ перспективного развития электроэнергетики муниципальных образований на пятилетний период</w:t>
            </w:r>
            <w:r>
              <w:rPr>
                <w:sz w:val="28"/>
                <w:szCs w:val="28"/>
              </w:rPr>
              <w:t>- 1шт</w:t>
            </w:r>
            <w:r w:rsidRPr="009F6987">
              <w:rPr>
                <w:sz w:val="28"/>
                <w:szCs w:val="28"/>
              </w:rPr>
              <w:t>.</w:t>
            </w:r>
          </w:p>
        </w:tc>
      </w:tr>
      <w:tr w:rsidR="00BB0551" w:rsidRPr="001F5E8F" w:rsidTr="00394DF6">
        <w:tc>
          <w:tcPr>
            <w:tcW w:w="1480" w:type="pct"/>
            <w:gridSpan w:val="2"/>
          </w:tcPr>
          <w:p w:rsidR="00BB0551" w:rsidRPr="001F5E8F" w:rsidRDefault="00BB0551" w:rsidP="00394DF6">
            <w:pPr>
              <w:tabs>
                <w:tab w:val="left" w:pos="0"/>
              </w:tabs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lastRenderedPageBreak/>
              <w:t>Информация по ресурсному обеспечению программы</w:t>
            </w:r>
          </w:p>
          <w:p w:rsidR="00BB0551" w:rsidRPr="001F5E8F" w:rsidRDefault="00BB0551" w:rsidP="00394DF6">
            <w:pPr>
              <w:tabs>
                <w:tab w:val="left" w:pos="1418"/>
              </w:tabs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20" w:type="pct"/>
          </w:tcPr>
          <w:p w:rsidR="00BB0551" w:rsidRPr="00F139FA" w:rsidRDefault="00BB0551" w:rsidP="00394DF6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Общий объем финансирования муниципальной программы в 2014-</w:t>
            </w:r>
            <w:r w:rsidRPr="00A166B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A166BC"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Pr="00753E5F">
              <w:rPr>
                <w:sz w:val="28"/>
                <w:szCs w:val="28"/>
              </w:rPr>
              <w:t>223 4</w:t>
            </w:r>
            <w:r>
              <w:rPr>
                <w:sz w:val="28"/>
                <w:szCs w:val="28"/>
              </w:rPr>
              <w:t>65,2</w:t>
            </w:r>
            <w:r w:rsidRPr="00F139F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:rsidR="00BB0551" w:rsidRPr="00F139FA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F139FA">
              <w:rPr>
                <w:sz w:val="28"/>
                <w:szCs w:val="28"/>
              </w:rPr>
              <w:t>- краевого бюджета –</w:t>
            </w:r>
            <w:r>
              <w:rPr>
                <w:sz w:val="28"/>
                <w:szCs w:val="28"/>
              </w:rPr>
              <w:t>191 770,5</w:t>
            </w:r>
            <w:r w:rsidRPr="00F139FA">
              <w:rPr>
                <w:color w:val="FF0000"/>
                <w:sz w:val="28"/>
                <w:szCs w:val="28"/>
              </w:rPr>
              <w:t xml:space="preserve"> </w:t>
            </w:r>
            <w:r w:rsidRPr="00F139FA">
              <w:rPr>
                <w:sz w:val="28"/>
                <w:szCs w:val="28"/>
              </w:rPr>
              <w:t xml:space="preserve">тыс. рублей, 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F139FA">
              <w:rPr>
                <w:sz w:val="28"/>
                <w:szCs w:val="28"/>
              </w:rPr>
              <w:t>в том числе по годам: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2014 год – 12 722,3 тыс. рублей;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2015 год – 15 754,1 тыс. рублей;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2016 год – 13 334,3 тыс. рублей;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2017 год – 13 186,2 тыс. рублей;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2018 год – 12 570,6</w:t>
            </w:r>
            <w:r>
              <w:rPr>
                <w:sz w:val="28"/>
                <w:szCs w:val="28"/>
              </w:rPr>
              <w:t xml:space="preserve"> </w:t>
            </w:r>
            <w:r w:rsidRPr="00A166BC">
              <w:rPr>
                <w:sz w:val="28"/>
                <w:szCs w:val="28"/>
              </w:rPr>
              <w:t>тыс. рублей;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2019 год – 11 909,3 тыс. рублей;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18 961,7</w:t>
            </w:r>
            <w:r w:rsidRPr="00A166BC">
              <w:rPr>
                <w:sz w:val="28"/>
                <w:szCs w:val="28"/>
              </w:rPr>
              <w:t xml:space="preserve"> тыс. рублей;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10 657,29</w:t>
            </w:r>
            <w:r w:rsidRPr="00A166BC">
              <w:rPr>
                <w:sz w:val="28"/>
                <w:szCs w:val="28"/>
              </w:rPr>
              <w:t>тыс. рублей;</w:t>
            </w:r>
          </w:p>
          <w:p w:rsidR="00BB0551" w:rsidRPr="00F139FA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2022 год –</w:t>
            </w:r>
            <w:r>
              <w:rPr>
                <w:sz w:val="28"/>
                <w:szCs w:val="28"/>
              </w:rPr>
              <w:t xml:space="preserve"> 11 842,9</w:t>
            </w:r>
            <w:r w:rsidRPr="00F139FA">
              <w:rPr>
                <w:color w:val="FF0000"/>
                <w:sz w:val="28"/>
                <w:szCs w:val="28"/>
              </w:rPr>
              <w:t xml:space="preserve"> </w:t>
            </w:r>
            <w:r w:rsidRPr="00F139FA">
              <w:rPr>
                <w:sz w:val="28"/>
                <w:szCs w:val="28"/>
              </w:rPr>
              <w:t>тыс. рублей;</w:t>
            </w:r>
          </w:p>
          <w:p w:rsidR="00BB0551" w:rsidRPr="00753E5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2023 год – 22 595,6</w:t>
            </w:r>
            <w:r w:rsidRPr="00753E5F">
              <w:rPr>
                <w:color w:val="FF0000"/>
                <w:sz w:val="28"/>
                <w:szCs w:val="28"/>
              </w:rPr>
              <w:t xml:space="preserve"> </w:t>
            </w:r>
            <w:r w:rsidRPr="00753E5F">
              <w:rPr>
                <w:sz w:val="28"/>
                <w:szCs w:val="28"/>
              </w:rPr>
              <w:t>тыс. рублей;</w:t>
            </w:r>
          </w:p>
          <w:p w:rsidR="00BB0551" w:rsidRPr="00753E5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2024 год – 16 078,7</w:t>
            </w:r>
            <w:r w:rsidRPr="00753E5F">
              <w:rPr>
                <w:color w:val="FF0000"/>
                <w:sz w:val="28"/>
                <w:szCs w:val="28"/>
              </w:rPr>
              <w:t xml:space="preserve"> </w:t>
            </w:r>
            <w:r w:rsidRPr="00753E5F">
              <w:rPr>
                <w:sz w:val="28"/>
                <w:szCs w:val="28"/>
              </w:rPr>
              <w:t>тыс. рублей;</w:t>
            </w:r>
          </w:p>
          <w:p w:rsidR="00BB0551" w:rsidRPr="00753E5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2025 год – 16 078,7</w:t>
            </w:r>
            <w:r w:rsidRPr="00753E5F">
              <w:rPr>
                <w:color w:val="FF0000"/>
                <w:sz w:val="28"/>
                <w:szCs w:val="28"/>
              </w:rPr>
              <w:t xml:space="preserve"> </w:t>
            </w:r>
            <w:r w:rsidRPr="00753E5F">
              <w:rPr>
                <w:sz w:val="28"/>
                <w:szCs w:val="28"/>
              </w:rPr>
              <w:t>тыс. рублей;</w:t>
            </w:r>
          </w:p>
          <w:p w:rsidR="00BB0551" w:rsidRPr="00753E5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2026 год – 16 078,7</w:t>
            </w:r>
            <w:r w:rsidRPr="00753E5F">
              <w:rPr>
                <w:color w:val="FF0000"/>
                <w:sz w:val="28"/>
                <w:szCs w:val="28"/>
              </w:rPr>
              <w:t xml:space="preserve"> </w:t>
            </w:r>
            <w:r w:rsidRPr="00753E5F">
              <w:rPr>
                <w:sz w:val="28"/>
                <w:szCs w:val="28"/>
              </w:rPr>
              <w:t>тыс. рублей.</w:t>
            </w:r>
          </w:p>
          <w:p w:rsidR="00BB0551" w:rsidRPr="00A166BC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 xml:space="preserve">- бюджета района – </w:t>
            </w:r>
            <w:r w:rsidRPr="00753E5F">
              <w:rPr>
                <w:sz w:val="28"/>
                <w:szCs w:val="28"/>
                <w:shd w:val="clear" w:color="auto" w:fill="FFFFFF" w:themeFill="background1"/>
              </w:rPr>
              <w:t>31 694,8</w:t>
            </w:r>
            <w:r w:rsidRPr="00753E5F">
              <w:rPr>
                <w:sz w:val="28"/>
                <w:szCs w:val="28"/>
              </w:rPr>
              <w:t xml:space="preserve"> тыс. рублей</w:t>
            </w:r>
            <w:r w:rsidRPr="00A166BC">
              <w:rPr>
                <w:sz w:val="28"/>
                <w:szCs w:val="28"/>
              </w:rPr>
              <w:t xml:space="preserve">, в том числе по годам: 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2014 год – 10 563,0</w:t>
            </w:r>
            <w:r>
              <w:rPr>
                <w:sz w:val="28"/>
                <w:szCs w:val="28"/>
              </w:rPr>
              <w:t>6</w:t>
            </w:r>
            <w:r w:rsidRPr="00A166BC">
              <w:rPr>
                <w:sz w:val="28"/>
                <w:szCs w:val="28"/>
              </w:rPr>
              <w:t xml:space="preserve"> тыс. рублей;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2015 год – 1 744,00 тыс. рублей;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2016 год – 100,89 тыс. рублей;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2017 год </w:t>
            </w:r>
            <w:r w:rsidRPr="004E4392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304,1</w:t>
            </w:r>
            <w:r w:rsidRPr="001F5E8F">
              <w:rPr>
                <w:sz w:val="28"/>
                <w:szCs w:val="28"/>
              </w:rPr>
              <w:t xml:space="preserve"> тыс. рублей;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405</w:t>
            </w:r>
            <w:r w:rsidRPr="001F5E8F">
              <w:rPr>
                <w:sz w:val="28"/>
                <w:szCs w:val="28"/>
              </w:rPr>
              <w:t>,0 тыс. рублей;</w:t>
            </w:r>
          </w:p>
          <w:p w:rsidR="00BB0551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589,4</w:t>
            </w:r>
            <w:r w:rsidRPr="001F5E8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B0551" w:rsidRPr="006503AB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1F5E8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1 268,1</w:t>
            </w:r>
            <w:r w:rsidRPr="006503AB">
              <w:rPr>
                <w:sz w:val="28"/>
                <w:szCs w:val="28"/>
              </w:rPr>
              <w:t xml:space="preserve"> тыс. рублей;</w:t>
            </w:r>
          </w:p>
          <w:p w:rsidR="00BB0551" w:rsidRPr="006503AB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6503A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2 834,6</w:t>
            </w:r>
            <w:r w:rsidRPr="006503AB">
              <w:rPr>
                <w:sz w:val="28"/>
                <w:szCs w:val="28"/>
              </w:rPr>
              <w:t xml:space="preserve"> тыс. рублей;</w:t>
            </w:r>
          </w:p>
          <w:p w:rsidR="00BB0551" w:rsidRPr="006503AB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6503A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4 110,8 </w:t>
            </w:r>
            <w:r w:rsidRPr="006503AB">
              <w:rPr>
                <w:sz w:val="28"/>
                <w:szCs w:val="28"/>
              </w:rPr>
              <w:t>тыс. рублей;</w:t>
            </w:r>
          </w:p>
          <w:p w:rsidR="00BB0551" w:rsidRPr="00F139FA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6503AB">
              <w:rPr>
                <w:sz w:val="28"/>
                <w:szCs w:val="28"/>
              </w:rPr>
              <w:t xml:space="preserve">2023 </w:t>
            </w:r>
            <w:r w:rsidRPr="00F139FA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8 283,8</w:t>
            </w:r>
            <w:r w:rsidRPr="00F139FA">
              <w:rPr>
                <w:sz w:val="28"/>
                <w:szCs w:val="28"/>
              </w:rPr>
              <w:t xml:space="preserve"> тыс. рублей;</w:t>
            </w:r>
          </w:p>
          <w:p w:rsidR="00BB0551" w:rsidRPr="00753E5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2024 год – 1 280,0</w:t>
            </w:r>
            <w:r w:rsidRPr="00753E5F">
              <w:rPr>
                <w:color w:val="FF0000"/>
                <w:sz w:val="28"/>
                <w:szCs w:val="28"/>
              </w:rPr>
              <w:t xml:space="preserve"> </w:t>
            </w:r>
            <w:r w:rsidRPr="00753E5F">
              <w:rPr>
                <w:sz w:val="28"/>
                <w:szCs w:val="28"/>
              </w:rPr>
              <w:t>тыс. рублей;</w:t>
            </w:r>
          </w:p>
          <w:p w:rsidR="00BB0551" w:rsidRPr="00753E5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2025 год – 155,0 тыс. рублей;</w:t>
            </w:r>
          </w:p>
          <w:p w:rsidR="00BB0551" w:rsidRPr="00753E5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2026 год – 56,0 тыс. рублей.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 xml:space="preserve"> - внебюджетных источников – 0,0 тыс</w:t>
            </w:r>
            <w:r w:rsidRPr="001F5E8F">
              <w:rPr>
                <w:sz w:val="28"/>
                <w:szCs w:val="28"/>
              </w:rPr>
              <w:t>. рублей, в том числе по годам: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2014 год – 0,0 тыс. рублей;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2015 год – 0,0 тыс. рублей;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2016 год – 0,0 тыс. рублей;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0,0</w:t>
            </w:r>
            <w:r w:rsidRPr="001F5E8F">
              <w:rPr>
                <w:sz w:val="28"/>
                <w:szCs w:val="28"/>
              </w:rPr>
              <w:t xml:space="preserve"> тыс. рублей;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</w:t>
            </w:r>
            <w:r w:rsidRPr="001F5E8F">
              <w:rPr>
                <w:sz w:val="28"/>
                <w:szCs w:val="28"/>
              </w:rPr>
              <w:t>,0 тыс. рублей;</w:t>
            </w:r>
          </w:p>
          <w:p w:rsidR="00BB0551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0</w:t>
            </w:r>
            <w:r w:rsidRPr="001F5E8F">
              <w:rPr>
                <w:sz w:val="28"/>
                <w:szCs w:val="28"/>
              </w:rPr>
              <w:t>,0 тыс. рублей</w:t>
            </w:r>
            <w:r>
              <w:rPr>
                <w:sz w:val="28"/>
                <w:szCs w:val="28"/>
              </w:rPr>
              <w:t>;</w:t>
            </w:r>
          </w:p>
          <w:p w:rsidR="00BB0551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1F5E8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0,0 тыс. рублей</w:t>
            </w:r>
            <w:r>
              <w:rPr>
                <w:sz w:val="28"/>
                <w:szCs w:val="28"/>
              </w:rPr>
              <w:t>;</w:t>
            </w:r>
          </w:p>
          <w:p w:rsidR="00BB0551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1F5E8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0,0 тыс. рублей</w:t>
            </w:r>
            <w:r>
              <w:rPr>
                <w:sz w:val="28"/>
                <w:szCs w:val="28"/>
              </w:rPr>
              <w:t>;</w:t>
            </w:r>
          </w:p>
          <w:p w:rsidR="00BB0551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1F5E8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0,0 тыс. рублей</w:t>
            </w:r>
            <w:r>
              <w:rPr>
                <w:sz w:val="28"/>
                <w:szCs w:val="28"/>
              </w:rPr>
              <w:t>;</w:t>
            </w:r>
          </w:p>
          <w:p w:rsidR="00BB0551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 тыс. рублей;</w:t>
            </w:r>
          </w:p>
          <w:p w:rsidR="00BB0551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895D40">
              <w:rPr>
                <w:sz w:val="28"/>
                <w:szCs w:val="28"/>
              </w:rPr>
              <w:t xml:space="preserve">2024 год – </w:t>
            </w:r>
            <w:r w:rsidRPr="00D811BE">
              <w:rPr>
                <w:sz w:val="28"/>
                <w:szCs w:val="28"/>
              </w:rPr>
              <w:t>0,0</w:t>
            </w:r>
            <w:r w:rsidRPr="00895D40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B0551" w:rsidRDefault="00BB0551" w:rsidP="00394DF6">
            <w:pPr>
              <w:pStyle w:val="ConsPlusCell"/>
              <w:jc w:val="both"/>
              <w:rPr>
                <w:sz w:val="28"/>
                <w:szCs w:val="28"/>
              </w:rPr>
            </w:pPr>
            <w:r w:rsidRPr="004909D5">
              <w:rPr>
                <w:sz w:val="28"/>
                <w:szCs w:val="28"/>
              </w:rPr>
              <w:t>2025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B0551" w:rsidRPr="001F5E8F" w:rsidRDefault="00BB0551" w:rsidP="00394DF6">
            <w:pPr>
              <w:pStyle w:val="ConsPlusCell"/>
              <w:jc w:val="both"/>
              <w:rPr>
                <w:sz w:val="28"/>
                <w:szCs w:val="28"/>
                <w:highlight w:val="yellow"/>
              </w:rPr>
            </w:pPr>
            <w:r w:rsidRPr="00753E5F">
              <w:rPr>
                <w:sz w:val="28"/>
                <w:szCs w:val="28"/>
              </w:rPr>
              <w:t>2026 год – 0,0 тыс</w:t>
            </w:r>
            <w:r w:rsidRPr="004909D5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BB0551" w:rsidRPr="001F5E8F" w:rsidTr="00394DF6">
        <w:tblPrEx>
          <w:tblLook w:val="0000"/>
        </w:tblPrEx>
        <w:trPr>
          <w:trHeight w:val="420"/>
        </w:trPr>
        <w:tc>
          <w:tcPr>
            <w:tcW w:w="1476" w:type="pct"/>
          </w:tcPr>
          <w:p w:rsidR="00BB0551" w:rsidRPr="00BD2EED" w:rsidRDefault="00BB0551" w:rsidP="00394DF6">
            <w:pPr>
              <w:pStyle w:val="a3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D2EED"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D2EED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BD2EED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3524" w:type="pct"/>
            <w:gridSpan w:val="2"/>
          </w:tcPr>
          <w:p w:rsidR="00BB0551" w:rsidRPr="00BD2EED" w:rsidRDefault="00BB0551" w:rsidP="00394DF6">
            <w:pPr>
              <w:pStyle w:val="a3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D2EED">
              <w:rPr>
                <w:rFonts w:ascii="Times New Roman" w:hAnsi="Times New Roman"/>
                <w:sz w:val="28"/>
                <w:szCs w:val="28"/>
              </w:rPr>
              <w:t>Заместитель главы по сельскому хозяйству и оперативному управлению, финансовое управление администрации Дзержинского района</w:t>
            </w:r>
          </w:p>
        </w:tc>
      </w:tr>
    </w:tbl>
    <w:p w:rsidR="00B15039" w:rsidRDefault="00B15039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/>
    <w:p w:rsidR="00BB0551" w:rsidRDefault="00BB0551">
      <w:pPr>
        <w:sectPr w:rsidR="00BB0551" w:rsidSect="00C81670">
          <w:headerReference w:type="default" r:id="rId6"/>
          <w:pgSz w:w="11906" w:h="16838"/>
          <w:pgMar w:top="1134" w:right="850" w:bottom="1134" w:left="1701" w:header="708" w:footer="708" w:gutter="0"/>
          <w:pgNumType w:start="304"/>
          <w:cols w:space="708"/>
          <w:docGrid w:linePitch="360"/>
        </w:sectPr>
      </w:pPr>
    </w:p>
    <w:tbl>
      <w:tblPr>
        <w:tblW w:w="4992" w:type="pct"/>
        <w:tblLayout w:type="fixed"/>
        <w:tblLook w:val="00A0"/>
      </w:tblPr>
      <w:tblGrid>
        <w:gridCol w:w="580"/>
        <w:gridCol w:w="1571"/>
        <w:gridCol w:w="709"/>
        <w:gridCol w:w="437"/>
        <w:gridCol w:w="558"/>
        <w:gridCol w:w="714"/>
        <w:gridCol w:w="216"/>
        <w:gridCol w:w="351"/>
        <w:gridCol w:w="342"/>
        <w:gridCol w:w="159"/>
        <w:gridCol w:w="133"/>
        <w:gridCol w:w="673"/>
        <w:gridCol w:w="44"/>
        <w:gridCol w:w="236"/>
        <w:gridCol w:w="617"/>
        <w:gridCol w:w="280"/>
        <w:gridCol w:w="455"/>
        <w:gridCol w:w="292"/>
        <w:gridCol w:w="602"/>
        <w:gridCol w:w="292"/>
        <w:gridCol w:w="570"/>
        <w:gridCol w:w="706"/>
        <w:gridCol w:w="759"/>
        <w:gridCol w:w="641"/>
        <w:gridCol w:w="679"/>
        <w:gridCol w:w="304"/>
        <w:gridCol w:w="469"/>
        <w:gridCol w:w="706"/>
        <w:gridCol w:w="667"/>
      </w:tblGrid>
      <w:tr w:rsidR="00BB0551" w:rsidRPr="00EA462F" w:rsidTr="00394DF6">
        <w:trPr>
          <w:trHeight w:val="1275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43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3260" w:type="pct"/>
            <w:gridSpan w:val="21"/>
            <w:tcBorders>
              <w:top w:val="nil"/>
              <w:left w:val="nil"/>
              <w:bottom w:val="nil"/>
            </w:tcBorders>
            <w:vAlign w:val="bottom"/>
          </w:tcPr>
          <w:p w:rsidR="00BB0551" w:rsidRDefault="00BB0551" w:rsidP="00394DF6">
            <w:pPr>
              <w:jc w:val="right"/>
              <w:rPr>
                <w:szCs w:val="22"/>
              </w:rPr>
            </w:pPr>
            <w:r w:rsidRPr="00501AE8">
              <w:rPr>
                <w:sz w:val="22"/>
                <w:szCs w:val="22"/>
              </w:rPr>
              <w:t>Приложение 1</w:t>
            </w:r>
            <w:r w:rsidRPr="00501AE8">
              <w:rPr>
                <w:sz w:val="22"/>
                <w:szCs w:val="22"/>
              </w:rPr>
              <w:br/>
              <w:t xml:space="preserve">к муниципальной программе Дзержинского района </w:t>
            </w:r>
          </w:p>
          <w:p w:rsidR="00BB0551" w:rsidRDefault="00BB0551" w:rsidP="00394DF6">
            <w:pPr>
              <w:jc w:val="right"/>
              <w:rPr>
                <w:szCs w:val="22"/>
              </w:rPr>
            </w:pPr>
            <w:r w:rsidRPr="00501AE8">
              <w:rPr>
                <w:sz w:val="22"/>
                <w:szCs w:val="22"/>
              </w:rPr>
              <w:t xml:space="preserve">"Реформирование и модернизация </w:t>
            </w:r>
            <w:proofErr w:type="gramStart"/>
            <w:r w:rsidRPr="00501AE8">
              <w:rPr>
                <w:sz w:val="22"/>
                <w:szCs w:val="22"/>
              </w:rPr>
              <w:t>жилищно-коммунального</w:t>
            </w:r>
            <w:proofErr w:type="gramEnd"/>
            <w:r w:rsidRPr="00501AE8">
              <w:rPr>
                <w:sz w:val="22"/>
                <w:szCs w:val="22"/>
              </w:rPr>
              <w:t xml:space="preserve"> </w:t>
            </w:r>
          </w:p>
          <w:p w:rsidR="00BB0551" w:rsidRPr="00501AE8" w:rsidRDefault="00BB0551" w:rsidP="00394DF6">
            <w:pPr>
              <w:jc w:val="right"/>
              <w:rPr>
                <w:szCs w:val="22"/>
              </w:rPr>
            </w:pPr>
            <w:r w:rsidRPr="00501AE8">
              <w:rPr>
                <w:sz w:val="22"/>
                <w:szCs w:val="22"/>
              </w:rPr>
              <w:t xml:space="preserve">хозяйства и повышение энергетической эффективности </w:t>
            </w:r>
            <w:r w:rsidRPr="00EA462F">
              <w:t>"</w:t>
            </w:r>
          </w:p>
        </w:tc>
      </w:tr>
      <w:tr w:rsidR="00BB0551" w:rsidRPr="00EA462F" w:rsidTr="00394DF6">
        <w:trPr>
          <w:trHeight w:val="375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43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21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1239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/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/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/>
        </w:tc>
      </w:tr>
      <w:tr w:rsidR="00BB0551" w:rsidRPr="00EA462F" w:rsidTr="00394DF6">
        <w:trPr>
          <w:trHeight w:val="375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4077" w:type="pct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>
            <w:pPr>
              <w:jc w:val="center"/>
            </w:pPr>
            <w:r w:rsidRPr="00EA462F">
              <w:t>Цели, целевые показатели, задачи, показатели результативности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>
            <w:pPr>
              <w:jc w:val="center"/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>
            <w:pPr>
              <w:jc w:val="center"/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>
            <w:pPr>
              <w:jc w:val="center"/>
            </w:pPr>
          </w:p>
        </w:tc>
      </w:tr>
      <w:tr w:rsidR="00BB0551" w:rsidRPr="00EA462F" w:rsidTr="00BB0551">
        <w:trPr>
          <w:trHeight w:val="375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551" w:rsidRPr="00EA462F" w:rsidRDefault="00BB0551" w:rsidP="00394DF6">
            <w:pPr>
              <w:jc w:val="center"/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28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288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1235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0551" w:rsidRPr="00EA462F" w:rsidRDefault="00BB0551" w:rsidP="00394DF6"/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/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/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</w:tcPr>
          <w:p w:rsidR="00BB0551" w:rsidRPr="00EA462F" w:rsidRDefault="00BB0551" w:rsidP="00394DF6"/>
        </w:tc>
      </w:tr>
      <w:tr w:rsidR="00BB0551" w:rsidRPr="00EA462F" w:rsidTr="00BB0551">
        <w:trPr>
          <w:trHeight w:val="126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№</w:t>
            </w:r>
            <w:r w:rsidRPr="001038C5">
              <w:rPr>
                <w:sz w:val="20"/>
              </w:rPr>
              <w:br/>
              <w:t xml:space="preserve"> </w:t>
            </w:r>
            <w:proofErr w:type="spellStart"/>
            <w:proofErr w:type="gramStart"/>
            <w:r w:rsidRPr="001038C5">
              <w:rPr>
                <w:sz w:val="20"/>
              </w:rPr>
              <w:t>п</w:t>
            </w:r>
            <w:proofErr w:type="spellEnd"/>
            <w:proofErr w:type="gramEnd"/>
            <w:r w:rsidRPr="001038C5">
              <w:rPr>
                <w:sz w:val="20"/>
              </w:rPr>
              <w:t>/</w:t>
            </w:r>
            <w:proofErr w:type="spellStart"/>
            <w:r w:rsidRPr="001038C5">
              <w:rPr>
                <w:sz w:val="20"/>
              </w:rPr>
              <w:t>п</w:t>
            </w:r>
            <w:proofErr w:type="spellEnd"/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Цели, задачи, показатели 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Единица измерения</w:t>
            </w:r>
          </w:p>
        </w:tc>
        <w:tc>
          <w:tcPr>
            <w:tcW w:w="5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Источник информации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2014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BB055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2015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2016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2017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2018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2019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2020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2021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2022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2023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2024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BB0551" w:rsidRPr="00EA462F" w:rsidTr="00BB0551">
        <w:trPr>
          <w:trHeight w:val="37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3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7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8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15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ind w:right="-14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ind w:right="-14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BB0551" w:rsidRPr="00EA462F" w:rsidTr="00BB0551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b/>
                <w:bCs/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b/>
                <w:bCs/>
                <w:sz w:val="20"/>
              </w:rPr>
            </w:pPr>
            <w:r w:rsidRPr="001038C5">
              <w:rPr>
                <w:b/>
                <w:bCs/>
                <w:sz w:val="20"/>
              </w:rPr>
              <w:t>ЦЕЛЬ: 1. Развитие, модернизация и капитальный ремонт объектов коммунальной инфраструктуры Дзержинского района</w:t>
            </w:r>
          </w:p>
        </w:tc>
      </w:tr>
      <w:tr w:rsidR="00BB0551" w:rsidRPr="00EA462F" w:rsidTr="00BB0551">
        <w:trPr>
          <w:trHeight w:val="5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i/>
                <w:iCs/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i/>
                <w:iCs/>
                <w:sz w:val="20"/>
              </w:rPr>
            </w:pPr>
            <w:r w:rsidRPr="001038C5">
              <w:rPr>
                <w:i/>
                <w:iCs/>
                <w:sz w:val="20"/>
              </w:rPr>
              <w:t xml:space="preserve">Задача 1. Предотвращение критического уровня износа объектов коммунальной инфраструктуры, повышение </w:t>
            </w:r>
            <w:proofErr w:type="spellStart"/>
            <w:r w:rsidRPr="001038C5">
              <w:rPr>
                <w:i/>
                <w:iCs/>
                <w:sz w:val="20"/>
              </w:rPr>
              <w:t>энергоэффективности</w:t>
            </w:r>
            <w:proofErr w:type="spellEnd"/>
            <w:r w:rsidRPr="001038C5">
              <w:rPr>
                <w:i/>
                <w:iCs/>
                <w:sz w:val="20"/>
              </w:rPr>
              <w:t xml:space="preserve"> функционирования систем коммунальной инфраструктуры, обеспечение населения питьевой водой, отвечающей требованиям безопасности, внедрение новых технологий, современной трубной продукции, котельного оборудования, водоочистных установок на объектах коммунального комплекса Дзержинского района</w:t>
            </w:r>
          </w:p>
        </w:tc>
      </w:tr>
      <w:tr w:rsidR="00BB0551" w:rsidRPr="00EA462F" w:rsidTr="00BB0551">
        <w:trPr>
          <w:trHeight w:val="558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Подпрограмма 1. "Модернизация, реконструкция и капитальный ремонт объектов коммунальной инфраструктуры Дзержинского района"</w:t>
            </w:r>
          </w:p>
        </w:tc>
      </w:tr>
      <w:tr w:rsidR="00BB0551" w:rsidRPr="00EA462F" w:rsidTr="00BB0551">
        <w:trPr>
          <w:trHeight w:val="533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Снижение уровня износа коммунальной инфраструктуры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отраслевой мониторинг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59,88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58,10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55,0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52,0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48,0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</w:tr>
      <w:tr w:rsidR="00BB0551" w:rsidRPr="00EA462F" w:rsidTr="00BB0551">
        <w:trPr>
          <w:trHeight w:val="69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Снижение количества аварий в инженерных сетях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ед./100 км</w:t>
            </w:r>
          </w:p>
        </w:tc>
        <w:tc>
          <w:tcPr>
            <w:tcW w:w="5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отраслевой мониторинг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4,97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4,8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4,0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3,5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3,0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BB0551" w:rsidRPr="00EA462F" w:rsidTr="00BB0551">
        <w:trPr>
          <w:trHeight w:val="81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Снижение потерь энергоресурсов в инженерных сетях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отраслевой мониторинг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22,26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22,15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22,1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</w:tr>
      <w:tr w:rsidR="00BB0551" w:rsidRPr="00EA462F" w:rsidTr="00BB0551">
        <w:trPr>
          <w:trHeight w:val="37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b/>
                <w:bCs/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b/>
                <w:bCs/>
                <w:sz w:val="20"/>
              </w:rPr>
            </w:pPr>
            <w:r w:rsidRPr="001038C5">
              <w:rPr>
                <w:b/>
                <w:bCs/>
                <w:sz w:val="20"/>
              </w:rPr>
              <w:t>ЦЕЛЬ: 2. Развитие и модернизация объектов водоснабжения и водоотведения в целях обеспечения населения Дзержинского района питьевой водой, соответствующей требованиям безопасности и безвредности, установленным санитарно-эпидемиологическими правилами</w:t>
            </w:r>
          </w:p>
        </w:tc>
      </w:tr>
      <w:tr w:rsidR="00BB0551" w:rsidRPr="00EA462F" w:rsidTr="00BB0551">
        <w:trPr>
          <w:trHeight w:val="37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i/>
                <w:iCs/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i/>
                <w:iCs/>
                <w:sz w:val="20"/>
              </w:rPr>
            </w:pPr>
            <w:r w:rsidRPr="001038C5">
              <w:rPr>
                <w:i/>
                <w:iCs/>
                <w:sz w:val="20"/>
              </w:rPr>
              <w:t>Задача</w:t>
            </w:r>
            <w:r>
              <w:rPr>
                <w:i/>
                <w:iCs/>
                <w:sz w:val="20"/>
              </w:rPr>
              <w:t xml:space="preserve"> </w:t>
            </w:r>
            <w:r w:rsidRPr="001038C5">
              <w:rPr>
                <w:i/>
                <w:iCs/>
                <w:sz w:val="20"/>
              </w:rPr>
              <w:t>2</w:t>
            </w:r>
            <w:r w:rsidRPr="001038C5">
              <w:rPr>
                <w:sz w:val="20"/>
              </w:rPr>
              <w:t xml:space="preserve"> </w:t>
            </w:r>
            <w:r w:rsidRPr="001038C5">
              <w:rPr>
                <w:i/>
                <w:iCs/>
                <w:sz w:val="20"/>
              </w:rPr>
              <w:t>Модернизация систем водоснабжения, обеспечение населения Дзержинского района питьевой водой, отвечающей требованиям безопасности</w:t>
            </w:r>
          </w:p>
        </w:tc>
      </w:tr>
      <w:tr w:rsidR="00BB0551" w:rsidRPr="00EA462F" w:rsidTr="00BB0551">
        <w:trPr>
          <w:trHeight w:val="37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Подпрограмма 2. "Чистая вода Дзержинского района"</w:t>
            </w:r>
          </w:p>
        </w:tc>
      </w:tr>
      <w:tr w:rsidR="00BB0551" w:rsidRPr="00EA462F" w:rsidTr="00394DF6">
        <w:trPr>
          <w:trHeight w:val="159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Данные управления </w:t>
            </w:r>
            <w:proofErr w:type="spellStart"/>
            <w:r w:rsidRPr="001038C5">
              <w:rPr>
                <w:sz w:val="20"/>
              </w:rPr>
              <w:t>Роспотребнадзора</w:t>
            </w:r>
            <w:proofErr w:type="spellEnd"/>
            <w:r w:rsidRPr="001038C5">
              <w:rPr>
                <w:sz w:val="20"/>
              </w:rPr>
              <w:t xml:space="preserve"> по Красноярскому краю</w:t>
            </w:r>
          </w:p>
        </w:tc>
        <w:tc>
          <w:tcPr>
            <w:tcW w:w="3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55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BB0551" w:rsidRPr="00EA462F" w:rsidTr="00394DF6">
        <w:trPr>
          <w:trHeight w:val="124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Увеличение доли населения, обеспеченного централизованными услугами водоснабжения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Государственная статистическая отчетность</w:t>
            </w:r>
          </w:p>
        </w:tc>
        <w:tc>
          <w:tcPr>
            <w:tcW w:w="3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10,00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12,00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14,00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15,00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</w:tr>
      <w:tr w:rsidR="00BB0551" w:rsidRPr="00EA462F" w:rsidTr="00BB0551">
        <w:trPr>
          <w:trHeight w:val="37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b/>
                <w:bCs/>
                <w:sz w:val="20"/>
              </w:rPr>
            </w:pPr>
          </w:p>
        </w:tc>
        <w:tc>
          <w:tcPr>
            <w:tcW w:w="4805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b/>
                <w:bCs/>
                <w:sz w:val="20"/>
              </w:rPr>
            </w:pPr>
            <w:r w:rsidRPr="001038C5">
              <w:rPr>
                <w:b/>
                <w:bCs/>
                <w:sz w:val="20"/>
              </w:rPr>
              <w:t>ЦЕЛЬ: 3. Формирование эффективной системы управления энергосбережением и повышением энергетической эффективности.</w:t>
            </w:r>
          </w:p>
        </w:tc>
      </w:tr>
      <w:tr w:rsidR="00BB0551" w:rsidRPr="00EA462F" w:rsidTr="00BB0551">
        <w:trPr>
          <w:trHeight w:val="37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rPr>
                <w:i/>
                <w:iCs/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i/>
                <w:iCs/>
                <w:sz w:val="20"/>
              </w:rPr>
            </w:pPr>
            <w:r w:rsidRPr="001038C5">
              <w:rPr>
                <w:i/>
                <w:iCs/>
                <w:sz w:val="20"/>
              </w:rPr>
              <w:t xml:space="preserve">Задача 3. Повышение энергосбережения и </w:t>
            </w:r>
            <w:proofErr w:type="spellStart"/>
            <w:r w:rsidRPr="001038C5">
              <w:rPr>
                <w:i/>
                <w:iCs/>
                <w:sz w:val="20"/>
              </w:rPr>
              <w:t>энергоэффективности</w:t>
            </w:r>
            <w:proofErr w:type="spellEnd"/>
          </w:p>
        </w:tc>
      </w:tr>
      <w:tr w:rsidR="00BB0551" w:rsidRPr="00EA462F" w:rsidTr="00BB0551">
        <w:trPr>
          <w:trHeight w:val="37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Подпрограмма 3. «Энергосбережение и повышение энергетической эффективности в Дзержинском районе»</w:t>
            </w:r>
          </w:p>
        </w:tc>
      </w:tr>
      <w:tr w:rsidR="00BB0551" w:rsidRPr="00EA462F" w:rsidTr="00394DF6">
        <w:trPr>
          <w:trHeight w:val="289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Снижение энергоемкости валового муниципального продукта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 </w:t>
            </w:r>
            <w:proofErr w:type="gramStart"/>
            <w:r w:rsidRPr="001038C5">
              <w:rPr>
                <w:sz w:val="20"/>
              </w:rPr>
              <w:t>кг</w:t>
            </w:r>
            <w:proofErr w:type="gramEnd"/>
            <w:r w:rsidRPr="001038C5">
              <w:rPr>
                <w:sz w:val="20"/>
              </w:rPr>
              <w:t xml:space="preserve"> </w:t>
            </w:r>
            <w:proofErr w:type="spellStart"/>
            <w:r w:rsidRPr="001038C5">
              <w:rPr>
                <w:sz w:val="20"/>
              </w:rPr>
              <w:t>у.т</w:t>
            </w:r>
            <w:proofErr w:type="spellEnd"/>
            <w:r w:rsidRPr="001038C5">
              <w:rPr>
                <w:sz w:val="20"/>
              </w:rPr>
              <w:t>./ 1000 руб.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отраслевой мониторинг, государственная статистическая отчетность</w:t>
            </w:r>
          </w:p>
        </w:tc>
        <w:tc>
          <w:tcPr>
            <w:tcW w:w="3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52,69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51,91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51,13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50,35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50,0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B0551" w:rsidRPr="00EA462F" w:rsidTr="00BB0551">
        <w:trPr>
          <w:trHeight w:val="563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rPr>
                <w:i/>
                <w:iCs/>
                <w:sz w:val="20"/>
              </w:rPr>
            </w:pPr>
          </w:p>
        </w:tc>
        <w:tc>
          <w:tcPr>
            <w:tcW w:w="4804" w:type="pct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i/>
                <w:iCs/>
                <w:sz w:val="20"/>
              </w:rPr>
            </w:pPr>
            <w:r w:rsidRPr="001038C5">
              <w:rPr>
                <w:i/>
                <w:iCs/>
                <w:sz w:val="20"/>
              </w:rPr>
              <w:t xml:space="preserve">Задача 4. Формирование объективных и достоверных данных о состоянии </w:t>
            </w:r>
            <w:proofErr w:type="spellStart"/>
            <w:r w:rsidRPr="001038C5">
              <w:rPr>
                <w:i/>
                <w:iCs/>
                <w:sz w:val="20"/>
              </w:rPr>
              <w:t>электросетевого</w:t>
            </w:r>
            <w:proofErr w:type="spellEnd"/>
            <w:r w:rsidRPr="001038C5">
              <w:rPr>
                <w:i/>
                <w:iCs/>
                <w:sz w:val="20"/>
              </w:rPr>
              <w:t xml:space="preserve"> хозяйства классом напряжения 0,4 - 35 кВ, выявление "узких мест", разработка перечня мероприятий по развитию электрических сетей.</w:t>
            </w:r>
          </w:p>
        </w:tc>
      </w:tr>
      <w:tr w:rsidR="00BB0551" w:rsidRPr="00EA462F" w:rsidTr="00394DF6">
        <w:trPr>
          <w:trHeight w:val="282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Количество разработанных схем и программ перспективного развития электроэнергетики муниципальных образований на пятилетний период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Ед.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B0551" w:rsidRPr="00EA462F" w:rsidTr="00394DF6">
        <w:trPr>
          <w:trHeight w:val="516"/>
        </w:trPr>
        <w:tc>
          <w:tcPr>
            <w:tcW w:w="5000" w:type="pct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rPr>
                <w:b/>
                <w:bCs/>
                <w:sz w:val="20"/>
              </w:rPr>
            </w:pPr>
            <w:r w:rsidRPr="001038C5">
              <w:rPr>
                <w:b/>
                <w:bCs/>
                <w:sz w:val="20"/>
              </w:rPr>
              <w:t>Отдельные мероприятия</w:t>
            </w:r>
          </w:p>
        </w:tc>
      </w:tr>
      <w:tr w:rsidR="00BB0551" w:rsidRPr="00EA462F" w:rsidTr="00394DF6">
        <w:trPr>
          <w:trHeight w:val="47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Реализация отдельных мер по обеспечению ограничения платы граждан за коммунальные услуги </w:t>
            </w:r>
          </w:p>
        </w:tc>
      </w:tr>
      <w:tr w:rsidR="00BB0551" w:rsidRPr="00EA462F" w:rsidTr="00394DF6">
        <w:trPr>
          <w:trHeight w:val="126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proofErr w:type="gramStart"/>
            <w:r w:rsidRPr="001038C5">
              <w:rPr>
                <w:sz w:val="20"/>
              </w:rPr>
              <w:t>Увеличение фактической оплата населением за жилищно-коммунальные услуги от начисленных платежей</w:t>
            </w:r>
            <w:proofErr w:type="gramEnd"/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статистика</w:t>
            </w:r>
            <w:r w:rsidRPr="001038C5">
              <w:rPr>
                <w:sz w:val="20"/>
              </w:rPr>
              <w:br/>
              <w:t>№ 22-ЖКХ (сводная)</w:t>
            </w:r>
          </w:p>
        </w:tc>
        <w:tc>
          <w:tcPr>
            <w:tcW w:w="3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90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94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95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</w:tr>
      <w:tr w:rsidR="00BB0551" w:rsidRPr="00EA462F" w:rsidTr="00394DF6">
        <w:trPr>
          <w:trHeight w:val="62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480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Создание условий для развития услуг связи в малочисленных и труднодоступных населенных пунктах Дзержинского района.</w:t>
            </w:r>
          </w:p>
        </w:tc>
      </w:tr>
      <w:tr w:rsidR="00BB0551" w:rsidRPr="00EA462F" w:rsidTr="00394DF6">
        <w:trPr>
          <w:trHeight w:val="163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Количество населенных пунктов Дзержинского района, обеспеченных услугами связи, ранее не имевших эту возможность.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единиц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rPr>
                <w:sz w:val="20"/>
              </w:rPr>
            </w:pPr>
            <w:r w:rsidRPr="001038C5">
              <w:rPr>
                <w:sz w:val="20"/>
              </w:rPr>
              <w:t>ведомственная статистика</w:t>
            </w:r>
          </w:p>
          <w:p w:rsidR="00BB0551" w:rsidRPr="001038C5" w:rsidRDefault="00BB0551" w:rsidP="00394DF6">
            <w:pPr>
              <w:jc w:val="center"/>
              <w:rPr>
                <w:sz w:val="20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Pr="001038C5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551" w:rsidRDefault="00BB0551" w:rsidP="00394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BB0551" w:rsidRDefault="00BB0551" w:rsidP="00BB0551">
      <w:pPr>
        <w:jc w:val="right"/>
        <w:outlineLvl w:val="0"/>
        <w:rPr>
          <w:sz w:val="22"/>
          <w:szCs w:val="22"/>
        </w:rPr>
      </w:pPr>
    </w:p>
    <w:p w:rsidR="00BB0551" w:rsidRDefault="00BB0551"/>
    <w:p w:rsidR="00BB0551" w:rsidRDefault="00BB0551"/>
    <w:sectPr w:rsidR="00BB0551" w:rsidSect="00BB055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670" w:rsidRDefault="00C81670" w:rsidP="00C81670">
      <w:r>
        <w:separator/>
      </w:r>
    </w:p>
  </w:endnote>
  <w:endnote w:type="continuationSeparator" w:id="0">
    <w:p w:rsidR="00C81670" w:rsidRDefault="00C81670" w:rsidP="00C81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670" w:rsidRDefault="00C81670" w:rsidP="00C81670">
      <w:r>
        <w:separator/>
      </w:r>
    </w:p>
  </w:footnote>
  <w:footnote w:type="continuationSeparator" w:id="0">
    <w:p w:rsidR="00C81670" w:rsidRDefault="00C81670" w:rsidP="00C816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626"/>
      <w:docPartObj>
        <w:docPartGallery w:val="Page Numbers (Top of Page)"/>
        <w:docPartUnique/>
      </w:docPartObj>
    </w:sdtPr>
    <w:sdtContent>
      <w:p w:rsidR="00C81670" w:rsidRDefault="00C81670">
        <w:pPr>
          <w:pStyle w:val="a5"/>
          <w:jc w:val="right"/>
        </w:pPr>
        <w:fldSimple w:instr=" PAGE   \* MERGEFORMAT ">
          <w:r>
            <w:rPr>
              <w:noProof/>
            </w:rPr>
            <w:t>310</w:t>
          </w:r>
        </w:fldSimple>
      </w:p>
    </w:sdtContent>
  </w:sdt>
  <w:p w:rsidR="00C81670" w:rsidRDefault="00C8167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551"/>
    <w:rsid w:val="002D38C8"/>
    <w:rsid w:val="00B15039"/>
    <w:rsid w:val="00BB0551"/>
    <w:rsid w:val="00C81670"/>
    <w:rsid w:val="00D83032"/>
    <w:rsid w:val="00E3135C"/>
    <w:rsid w:val="00F7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5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B05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BB055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BB05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BB0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BB0551"/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BB0551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C816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6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816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16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1424</Words>
  <Characters>8120</Characters>
  <Application>Microsoft Office Word</Application>
  <DocSecurity>0</DocSecurity>
  <Lines>67</Lines>
  <Paragraphs>19</Paragraphs>
  <ScaleCrop>false</ScaleCrop>
  <Company>Reanimator Extreme Edition</Company>
  <LinksUpToDate>false</LinksUpToDate>
  <CharactersWithSpaces>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6</cp:revision>
  <dcterms:created xsi:type="dcterms:W3CDTF">2023-11-10T02:01:00Z</dcterms:created>
  <dcterms:modified xsi:type="dcterms:W3CDTF">2023-11-13T01:05:00Z</dcterms:modified>
</cp:coreProperties>
</file>